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ПИСЬМО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24 февраля 2026 г. N 31-2/И/2-3021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МЕТОДИЧЕСКИХ РЕКОМЕНДАЦИЯХ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СПОСОБАМ ОПЛАТЫ МЕДИЦИНСКОЙ ПОМОЩИ ЗА СЧЕТ СРЕДСТВ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ОБЯЗАТЕЛЬНОГО МЕДИЦИНСКОГО СТРАХОВАНИЯ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575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57587" w:rsidRDefault="0075758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7587" w:rsidRDefault="0075758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57587" w:rsidRDefault="00757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color w:val="392C69"/>
              </w:rPr>
            </w:pPr>
            <w:r>
              <w:rPr>
                <w:rFonts w:ascii="Calibri" w:hAnsi="Calibri" w:cs="Calibri"/>
                <w:i/>
                <w:iCs/>
                <w:color w:val="392C69"/>
              </w:rPr>
              <w:t>Список изменяющих документов</w:t>
            </w:r>
          </w:p>
          <w:p w:rsidR="00757587" w:rsidRDefault="00757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color w:val="392C69"/>
              </w:rPr>
            </w:pPr>
            <w:r>
              <w:rPr>
                <w:rFonts w:ascii="Calibri" w:hAnsi="Calibri" w:cs="Calibri"/>
                <w:i/>
                <w:iCs/>
                <w:color w:val="392C69"/>
              </w:rPr>
              <w:t xml:space="preserve">(в ред. </w:t>
            </w:r>
            <w:hyperlink r:id="rId4" w:history="1">
              <w:r>
                <w:rPr>
                  <w:rFonts w:ascii="Calibri" w:hAnsi="Calibri" w:cs="Calibri"/>
                  <w:i/>
                  <w:iCs/>
                  <w:color w:val="0000FF"/>
                </w:rPr>
                <w:t>письма</w:t>
              </w:r>
            </w:hyperlink>
            <w:r>
              <w:rPr>
                <w:rFonts w:ascii="Calibri" w:hAnsi="Calibri" w:cs="Calibri"/>
                <w:i/>
                <w:iCs/>
                <w:color w:val="392C69"/>
              </w:rPr>
              <w:t xml:space="preserve"> Минздрава России N 31-2/И/2-6103,</w:t>
            </w:r>
          </w:p>
          <w:p w:rsidR="00757587" w:rsidRDefault="00757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color w:val="392C69"/>
              </w:rPr>
            </w:pPr>
            <w:r>
              <w:rPr>
                <w:rFonts w:ascii="Calibri" w:hAnsi="Calibri" w:cs="Calibri"/>
                <w:i/>
                <w:iCs/>
                <w:color w:val="392C69"/>
              </w:rPr>
              <w:t>ФФОМС N 00-10-26-3-06/6382 от 03.04.2026)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7587" w:rsidRDefault="00757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color w:val="392C69"/>
              </w:rPr>
            </w:pPr>
          </w:p>
        </w:tc>
      </w:tr>
    </w:tbl>
    <w:p w:rsidR="00757587" w:rsidRDefault="00757587" w:rsidP="007575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/>
          <w:iCs/>
        </w:rPr>
      </w:pP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 xml:space="preserve">Министерство здравоохранения Российской Федерации направляет для руководства и использования в работе Методические </w:t>
      </w:r>
      <w:hyperlink r:id="rId5" w:history="1">
        <w:r>
          <w:rPr>
            <w:rFonts w:ascii="Calibri" w:hAnsi="Calibri" w:cs="Calibri"/>
            <w:i/>
            <w:iCs/>
            <w:color w:val="0000FF"/>
          </w:rPr>
          <w:t>рекомендации</w:t>
        </w:r>
      </w:hyperlink>
      <w:r>
        <w:rPr>
          <w:rFonts w:ascii="Calibri" w:hAnsi="Calibri" w:cs="Calibri"/>
          <w:i/>
          <w:iCs/>
        </w:rPr>
        <w:t xml:space="preserve"> по способам оплаты медицинской помощи за счет средств обязательного медицинского страхования, разработанные рабочей группой Министерства здравоохранения Российской Федерации по актуализации методологических подходов к оплате медицинской помощи за счет средств обязательного медицинского страхования в рамках программы государственных гарантий бесплатного оказания гражданам медицинской помощи (утверждена приказом Министерства здравоохранения Российской Федерации от 13 мая 2022 г. N 321), взамен Методических </w:t>
      </w:r>
      <w:hyperlink r:id="rId6" w:history="1">
        <w:r>
          <w:rPr>
            <w:rFonts w:ascii="Calibri" w:hAnsi="Calibri" w:cs="Calibri"/>
            <w:i/>
            <w:iCs/>
            <w:color w:val="0000FF"/>
          </w:rPr>
          <w:t>рекомендаций</w:t>
        </w:r>
      </w:hyperlink>
      <w:r>
        <w:rPr>
          <w:rFonts w:ascii="Calibri" w:hAnsi="Calibri" w:cs="Calibri"/>
          <w:i/>
          <w:iCs/>
        </w:rPr>
        <w:t xml:space="preserve"> по способам оплаты медицинской помощи за счет средств обязательного медицинского страхования, направленных в субъекты Российской Федерации совместным письмом Министерства здравоохранения Российской Федерации и Федерального фонда обязательного медицинского страхования от 28 января 2025 г. N 31-2/115 - 00-10-26-2-06/965.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/>
          <w:iCs/>
        </w:rPr>
      </w:pP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В.А.ЗЕЛЕНСКИЙ</w:t>
      </w:r>
    </w:p>
    <w:p w:rsidR="00757587" w:rsidRDefault="00757587">
      <w:pPr>
        <w:pStyle w:val="ConsPlusTitle"/>
        <w:ind w:firstLine="540"/>
        <w:jc w:val="both"/>
        <w:outlineLvl w:val="0"/>
      </w:pP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Приложение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ФЕДЕРАЛЬНЫЙ ФОНД ОБЯЗАТЕЛЬНОГО МЕДИЦИНСКОГО СТРАХОВАНИЯ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МЕТОДИЧЕСКИЕ РЕКОМЕНДАЦИИ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СПОСОБАМ ОПЛАТЫ МЕДИЦИНСКОЙ ПОМОЩИ ЗА СЧЕТ СРЕДСТВ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ОБЯЗАТЕЛЬНОГО МЕДИЦИНСКОГО СТРАХОВАНИЯ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575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57587" w:rsidRDefault="0075758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7587" w:rsidRDefault="0075758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57587" w:rsidRDefault="00757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392C69"/>
              </w:rPr>
            </w:pPr>
            <w:r>
              <w:rPr>
                <w:rFonts w:ascii="Calibri" w:hAnsi="Calibri" w:cs="Calibri"/>
                <w:b/>
                <w:bCs/>
                <w:color w:val="392C69"/>
              </w:rPr>
              <w:t>Список изменяющих документов</w:t>
            </w:r>
          </w:p>
          <w:p w:rsidR="00757587" w:rsidRDefault="00757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392C69"/>
              </w:rPr>
            </w:pPr>
            <w:r>
              <w:rPr>
                <w:rFonts w:ascii="Calibri" w:hAnsi="Calibri" w:cs="Calibri"/>
                <w:b/>
                <w:bCs/>
                <w:color w:val="392C69"/>
              </w:rPr>
              <w:t xml:space="preserve">(в ред. </w:t>
            </w:r>
            <w:hyperlink r:id="rId7" w:history="1">
              <w:r>
                <w:rPr>
                  <w:rFonts w:ascii="Calibri" w:hAnsi="Calibri" w:cs="Calibri"/>
                  <w:b/>
                  <w:bCs/>
                  <w:color w:val="0000FF"/>
                </w:rPr>
                <w:t>письма</w:t>
              </w:r>
            </w:hyperlink>
            <w:r>
              <w:rPr>
                <w:rFonts w:ascii="Calibri" w:hAnsi="Calibri" w:cs="Calibri"/>
                <w:b/>
                <w:bCs/>
                <w:color w:val="392C69"/>
              </w:rPr>
              <w:t xml:space="preserve"> Минздрава России N 31-2/И/2-6103,</w:t>
            </w:r>
          </w:p>
          <w:p w:rsidR="00757587" w:rsidRDefault="00757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392C69"/>
              </w:rPr>
            </w:pPr>
            <w:r>
              <w:rPr>
                <w:rFonts w:ascii="Calibri" w:hAnsi="Calibri" w:cs="Calibri"/>
                <w:b/>
                <w:bCs/>
                <w:color w:val="392C69"/>
              </w:rPr>
              <w:t>ФФОМС N 00-10-26-3-06/6382 от 03.04.2026)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7587" w:rsidRDefault="00757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392C69"/>
              </w:rPr>
            </w:pPr>
          </w:p>
        </w:tc>
      </w:tr>
    </w:tbl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Первый заместитель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Министра здравоохранения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В.А.ЗЕЛЕНСКИЙ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20.02.2026 N 31-2/И/2-2902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Председатель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Федерального фонда обязательного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медицинского страхования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И.В.БАЛАНИН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20.02.2026 N 00-10-26-2-06/3109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Одобрено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решением рабочей группы Министерства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здравоохранения Российской Федерации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части оплаты медицинской помощи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условиях круглосуточного и дневного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стационаров по клинико-статистическим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группам за счет средств обязательного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медицинского страхования в рамках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программы государственных гарантий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бесплатного оказания гражданам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медицинской помощи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(протокол заседания</w:t>
      </w:r>
    </w:p>
    <w:p w:rsidR="00757587" w:rsidRDefault="00757587" w:rsidP="0075758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16.02.2026 N 90/31-2/54)</w:t>
      </w:r>
    </w:p>
    <w:p w:rsidR="00757587" w:rsidRDefault="00757587">
      <w:pPr>
        <w:pStyle w:val="ConsPlusTitle"/>
        <w:ind w:firstLine="540"/>
        <w:jc w:val="both"/>
        <w:outlineLvl w:val="0"/>
      </w:pPr>
    </w:p>
    <w:p w:rsidR="00757587" w:rsidRDefault="00757587">
      <w:pPr>
        <w:pStyle w:val="ConsPlusTitle"/>
        <w:ind w:firstLine="540"/>
        <w:jc w:val="both"/>
        <w:outlineLvl w:val="0"/>
      </w:pPr>
    </w:p>
    <w:p w:rsidR="00757587" w:rsidRDefault="00757587">
      <w:pPr>
        <w:pStyle w:val="ConsPlusTitle"/>
        <w:ind w:firstLine="540"/>
        <w:jc w:val="both"/>
        <w:outlineLvl w:val="0"/>
      </w:pPr>
      <w:r>
        <w:rPr>
          <w:sz w:val="24"/>
          <w:szCs w:val="24"/>
        </w:rPr>
        <w:t>II. СПОСОБЫ ОПЛАТЫ ПЕРВИЧНОЙ МЕДИКО-САНИТАРНОЙ ПОМОЩИ, В ТОМ ЧИСЛЕ НА ОСНОВЕ ПОДУШЕВОГО НОРМАТИВА ФИНАНСИРОВАНИЯ НА ПРИКРЕПИВШИХСЯ ЛИЦ</w:t>
      </w:r>
    </w:p>
    <w:p w:rsidR="00757587" w:rsidRDefault="00757587">
      <w:pPr>
        <w:pStyle w:val="ConsPlusTitle"/>
        <w:ind w:firstLine="540"/>
        <w:jc w:val="both"/>
        <w:outlineLvl w:val="0"/>
      </w:pPr>
    </w:p>
    <w:p w:rsidR="00757587" w:rsidRDefault="00757587">
      <w:pPr>
        <w:pStyle w:val="ConsPlusTitle"/>
        <w:ind w:firstLine="540"/>
        <w:jc w:val="both"/>
        <w:outlineLvl w:val="0"/>
      </w:pPr>
      <w:bookmarkStart w:id="0" w:name="_GoBack"/>
      <w:bookmarkEnd w:id="0"/>
    </w:p>
    <w:p w:rsidR="001230DE" w:rsidRDefault="001230DE">
      <w:pPr>
        <w:pStyle w:val="ConsPlusTitle"/>
        <w:ind w:firstLine="540"/>
        <w:jc w:val="both"/>
        <w:outlineLvl w:val="0"/>
      </w:pPr>
      <w:r>
        <w:t>2.12. Особенности оплаты медицинской помощи с применением телемедицинских технологий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 xml:space="preserve">Консультации с применением телемедицинских технологий подлежат оплате в случае их проведения в соответствии с </w:t>
      </w:r>
      <w:hyperlink r:id="rId8">
        <w:r>
          <w:rPr>
            <w:color w:val="0000FF"/>
          </w:rPr>
          <w:t>Приказом</w:t>
        </w:r>
      </w:hyperlink>
      <w:r>
        <w:t xml:space="preserve"> N 193н.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9">
        <w:r>
          <w:rPr>
            <w:color w:val="0000FF"/>
          </w:rPr>
          <w:t>Программой</w:t>
        </w:r>
      </w:hyperlink>
      <w:r>
        <w:t xml:space="preserve"> </w:t>
      </w:r>
      <w:proofErr w:type="spellStart"/>
      <w:r>
        <w:t>подушевой</w:t>
      </w:r>
      <w:proofErr w:type="spellEnd"/>
      <w:r>
        <w:t xml:space="preserve"> норматив финансирования медицинской помощи в амбулаторных условиях (за исключением медицинской помощи по профилю "медицинская реабилитация", оказанной гражданам на дому) на прикрепившихся лиц включает в том числе расходы на оказание медицинской помощи с применением телемедицинских (дистанционных)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населения.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>Таким образом, оплата медицинской помощи с применением телемедицинских технологий осуществляется:</w:t>
      </w:r>
    </w:p>
    <w:p w:rsidR="001230DE" w:rsidRDefault="001230DE">
      <w:pPr>
        <w:pStyle w:val="ConsPlusNormal"/>
        <w:spacing w:before="220"/>
        <w:ind w:firstLine="540"/>
        <w:jc w:val="both"/>
      </w:pPr>
      <w:bookmarkStart w:id="1" w:name="P4"/>
      <w:bookmarkEnd w:id="1"/>
      <w:r>
        <w:t xml:space="preserve">1. Вне </w:t>
      </w:r>
      <w:proofErr w:type="spellStart"/>
      <w:r>
        <w:t>подушевого</w:t>
      </w:r>
      <w:proofErr w:type="spellEnd"/>
      <w:r>
        <w:t xml:space="preserve"> финансирования (за единицу объема медицинской помощи):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>- при дистанционном взаимодействии медицинских работников между собой, в том числе при проведении консилиумов врачей за исключением дистанционного взаимодействия медицинских работников внутри одной медицинской организации;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>- при оплате телемедицинских консультаций маломобильных граждан, имеющих физические ограничения, проведенных медицинскими организациями, не имеющими прикрепленного населения;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>- при оплате телемедицинских консультаций жителям отдаленных и малонаселенных районов, проведенных медицинскими организациями, не имеющими прикрепленного населения;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 xml:space="preserve">- при оплате телемедицинских консультаций по профилю медицинской помощи, исключенному из </w:t>
      </w:r>
      <w:proofErr w:type="spellStart"/>
      <w:r>
        <w:t>подушевого</w:t>
      </w:r>
      <w:proofErr w:type="spellEnd"/>
      <w:r>
        <w:t xml:space="preserve"> финансирования.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 xml:space="preserve">2. В рамках </w:t>
      </w:r>
      <w:proofErr w:type="spellStart"/>
      <w:r>
        <w:t>межучрежденческих</w:t>
      </w:r>
      <w:proofErr w:type="spellEnd"/>
      <w:r>
        <w:t xml:space="preserve"> расчетов из средств, получаемых по </w:t>
      </w:r>
      <w:proofErr w:type="spellStart"/>
      <w:r>
        <w:t>подушевому</w:t>
      </w:r>
      <w:proofErr w:type="spellEnd"/>
      <w:r>
        <w:t xml:space="preserve"> нормативу финансирования медицинской организацией, к которой прикреплено застрахованное лицо, при оплате телемедицинских консультаций, не указанных в </w:t>
      </w:r>
      <w:hyperlink w:anchor="P4">
        <w:r>
          <w:rPr>
            <w:color w:val="0000FF"/>
          </w:rPr>
          <w:t>пункте 1</w:t>
        </w:r>
      </w:hyperlink>
      <w:r>
        <w:t xml:space="preserve"> настоящего раздела.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>Средства за оказанную медицинскую помощь при дистанционном взаимодействии медицинских работников между собой, в том числе при проведении консилиумов врачей, направляются в медицинскую организацию, запросившую указанную телемедицинскую консультацию.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 xml:space="preserve">Рекомендуемые подходы к оплате медицинской помощи в рамках </w:t>
      </w:r>
      <w:proofErr w:type="spellStart"/>
      <w:r>
        <w:t>межучрежденческих</w:t>
      </w:r>
      <w:proofErr w:type="spellEnd"/>
      <w:r>
        <w:t xml:space="preserve"> и межтерриториальных расчетов определены </w:t>
      </w:r>
      <w:hyperlink r:id="rId10">
        <w:r>
          <w:rPr>
            <w:color w:val="0000FF"/>
          </w:rPr>
          <w:t>разделом V</w:t>
        </w:r>
      </w:hyperlink>
      <w:r>
        <w:t xml:space="preserve"> настоящих рекомендаций.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 xml:space="preserve">Также возможно установление отдельных тарифов на оплату медицинской помощи с применением телемедицинских технологий в целях проведения </w:t>
      </w:r>
      <w:proofErr w:type="spellStart"/>
      <w:r>
        <w:t>межучрежденческих</w:t>
      </w:r>
      <w:proofErr w:type="spellEnd"/>
      <w:r>
        <w:t xml:space="preserve"> расчетов, в том числе для </w:t>
      </w:r>
      <w:proofErr w:type="spellStart"/>
      <w:r>
        <w:t>референс</w:t>
      </w:r>
      <w:proofErr w:type="spellEnd"/>
      <w:r>
        <w:t>-центров.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 xml:space="preserve">Расходы на оказание медицинской помощи с применением телемедицинских технологий учитываются путем применения повышающего коэффициента при расчете </w:t>
      </w:r>
      <w:proofErr w:type="spellStart"/>
      <w:r>
        <w:t>КД</w:t>
      </w:r>
      <w:r>
        <w:rPr>
          <w:vertAlign w:val="subscript"/>
        </w:rPr>
        <w:t>ур</w:t>
      </w:r>
      <w:proofErr w:type="spellEnd"/>
      <w:r>
        <w:t xml:space="preserve">, используемого при расчете дифференцированных </w:t>
      </w:r>
      <w:proofErr w:type="spellStart"/>
      <w:r>
        <w:t>подушевых</w:t>
      </w:r>
      <w:proofErr w:type="spellEnd"/>
      <w:r>
        <w:t xml:space="preserve"> нормативов в случаях оплаты медицинской помощи в амбулаторных условиях по </w:t>
      </w:r>
      <w:proofErr w:type="spellStart"/>
      <w:r>
        <w:t>подушевому</w:t>
      </w:r>
      <w:proofErr w:type="spellEnd"/>
      <w:r>
        <w:t xml:space="preserve"> нормативу финансирования на прикрепившихся лиц а для медицинских организаций, имеющих в составе подразделения, оказывающие медицинскую </w:t>
      </w:r>
      <w:r>
        <w:lastRenderedPageBreak/>
        <w:t xml:space="preserve">помощь в амбулаторных, стационарных условиях и условиях дневного стационара, а также медицинскую реабилитацию - по </w:t>
      </w:r>
      <w:proofErr w:type="spellStart"/>
      <w:r>
        <w:t>подушевому</w:t>
      </w:r>
      <w:proofErr w:type="spellEnd"/>
      <w:r>
        <w:t xml:space="preserve"> нормативу финансирования на прикрепившихся лиц, включая оплату по всем видам и условиям оказания медицинской помощи.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 xml:space="preserve">При этом повышающий коэффициент рассчитывается прямо пропорционально доле медицинской помощи с применением телемедицинских технологий в общем объеме оказанной медицинской помощи, финансовое обеспечение которой осуществляется по </w:t>
      </w:r>
      <w:proofErr w:type="spellStart"/>
      <w:r>
        <w:t>подушевому</w:t>
      </w:r>
      <w:proofErr w:type="spellEnd"/>
      <w:r>
        <w:t xml:space="preserve"> нормативу финансирования.</w:t>
      </w:r>
    </w:p>
    <w:p w:rsidR="001230DE" w:rsidRDefault="001230DE">
      <w:pPr>
        <w:pStyle w:val="ConsPlusNormal"/>
        <w:jc w:val="both"/>
      </w:pPr>
    </w:p>
    <w:p w:rsidR="001230DE" w:rsidRDefault="001230DE">
      <w:pPr>
        <w:pStyle w:val="ConsPlusNormal"/>
        <w:jc w:val="right"/>
      </w:pPr>
      <w:r>
        <w:t>Таблица 8</w:t>
      </w:r>
    </w:p>
    <w:p w:rsidR="001230DE" w:rsidRDefault="001230D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0"/>
        <w:gridCol w:w="2551"/>
      </w:tblGrid>
      <w:tr w:rsidR="001230DE">
        <w:tc>
          <w:tcPr>
            <w:tcW w:w="6520" w:type="dxa"/>
          </w:tcPr>
          <w:p w:rsidR="001230DE" w:rsidRDefault="001230DE">
            <w:pPr>
              <w:pStyle w:val="ConsPlusNormal"/>
              <w:jc w:val="center"/>
            </w:pPr>
            <w:r>
              <w:t xml:space="preserve">Показатель объема медицинской помощи с применением телемедицинских технологий (доля медицинской помощи с применением телемедицинских технологий в общем объеме оказанной медицинской помощи, финансовое обеспечение которой осуществляется по </w:t>
            </w:r>
            <w:proofErr w:type="spellStart"/>
            <w:r>
              <w:t>подушевому</w:t>
            </w:r>
            <w:proofErr w:type="spellEnd"/>
            <w:r>
              <w:t xml:space="preserve"> нормативу финансирования), %</w:t>
            </w:r>
          </w:p>
        </w:tc>
        <w:tc>
          <w:tcPr>
            <w:tcW w:w="2551" w:type="dxa"/>
          </w:tcPr>
          <w:p w:rsidR="001230DE" w:rsidRDefault="001230DE">
            <w:pPr>
              <w:pStyle w:val="ConsPlusNormal"/>
              <w:jc w:val="center"/>
            </w:pPr>
            <w:r>
              <w:t>Повышающий коэффициент к коэффициенту уровня (подуровня)</w:t>
            </w:r>
          </w:p>
        </w:tc>
      </w:tr>
      <w:tr w:rsidR="001230DE">
        <w:tc>
          <w:tcPr>
            <w:tcW w:w="6520" w:type="dxa"/>
            <w:vAlign w:val="center"/>
          </w:tcPr>
          <w:p w:rsidR="001230DE" w:rsidRDefault="001230DE">
            <w:pPr>
              <w:pStyle w:val="ConsPlusNormal"/>
              <w:jc w:val="center"/>
            </w:pPr>
            <w:r>
              <w:t>1%</w:t>
            </w:r>
          </w:p>
        </w:tc>
        <w:tc>
          <w:tcPr>
            <w:tcW w:w="2551" w:type="dxa"/>
            <w:vAlign w:val="center"/>
          </w:tcPr>
          <w:p w:rsidR="001230DE" w:rsidRDefault="001230DE">
            <w:pPr>
              <w:pStyle w:val="ConsPlusNormal"/>
              <w:jc w:val="center"/>
            </w:pPr>
            <w:r>
              <w:t>1,01</w:t>
            </w:r>
          </w:p>
        </w:tc>
      </w:tr>
      <w:tr w:rsidR="001230DE">
        <w:tc>
          <w:tcPr>
            <w:tcW w:w="6520" w:type="dxa"/>
            <w:vAlign w:val="center"/>
          </w:tcPr>
          <w:p w:rsidR="001230DE" w:rsidRDefault="001230DE">
            <w:pPr>
              <w:pStyle w:val="ConsPlusNormal"/>
              <w:jc w:val="center"/>
            </w:pPr>
            <w:r>
              <w:t>2%</w:t>
            </w:r>
          </w:p>
        </w:tc>
        <w:tc>
          <w:tcPr>
            <w:tcW w:w="2551" w:type="dxa"/>
            <w:vAlign w:val="center"/>
          </w:tcPr>
          <w:p w:rsidR="001230DE" w:rsidRDefault="001230DE">
            <w:pPr>
              <w:pStyle w:val="ConsPlusNormal"/>
              <w:jc w:val="center"/>
            </w:pPr>
            <w:r>
              <w:t>1,02</w:t>
            </w:r>
          </w:p>
        </w:tc>
      </w:tr>
      <w:tr w:rsidR="001230DE">
        <w:tc>
          <w:tcPr>
            <w:tcW w:w="9071" w:type="dxa"/>
            <w:gridSpan w:val="2"/>
            <w:vAlign w:val="center"/>
          </w:tcPr>
          <w:p w:rsidR="001230DE" w:rsidRDefault="001230DE">
            <w:pPr>
              <w:pStyle w:val="ConsPlusNormal"/>
            </w:pPr>
            <w:r>
              <w:t>Повышающий коэффициент прямо пропорционален доле медицинской помощи с применением телемедицинских технологий (при увеличении доли оказанной медицинской помощи с применением телемедицинских услуг на 1% повышающий коэффициент увеличивается на 0,01)</w:t>
            </w:r>
          </w:p>
        </w:tc>
      </w:tr>
    </w:tbl>
    <w:p w:rsidR="001230DE" w:rsidRDefault="001230DE">
      <w:pPr>
        <w:pStyle w:val="ConsPlusNormal"/>
        <w:jc w:val="both"/>
      </w:pPr>
    </w:p>
    <w:p w:rsidR="001230DE" w:rsidRDefault="001230DE">
      <w:pPr>
        <w:pStyle w:val="ConsPlusNormal"/>
        <w:ind w:firstLine="540"/>
        <w:jc w:val="both"/>
      </w:pPr>
      <w:r>
        <w:t xml:space="preserve">Указанный коэффициент применяется при определении размера коэффициента уровня (подуровня) медицинской организации, применяемого при расчете дифференцированных </w:t>
      </w:r>
      <w:proofErr w:type="spellStart"/>
      <w:r>
        <w:t>подушевых</w:t>
      </w:r>
      <w:proofErr w:type="spellEnd"/>
      <w:r>
        <w:t xml:space="preserve"> нормативов финансирования при оплате медицинской помощи по </w:t>
      </w:r>
      <w:proofErr w:type="spellStart"/>
      <w:r>
        <w:t>подушевому</w:t>
      </w:r>
      <w:proofErr w:type="spellEnd"/>
      <w:r>
        <w:t xml:space="preserve"> нормативу финансирования на прикрепившихся лиц в амбулаторных условиях (а для вышеуказанных медицинских организаций - при оплате по </w:t>
      </w:r>
      <w:proofErr w:type="spellStart"/>
      <w:r>
        <w:t>подушевому</w:t>
      </w:r>
      <w:proofErr w:type="spellEnd"/>
      <w:r>
        <w:t xml:space="preserve"> нормативу финансирования на прикрепившихся лиц, включая оплату по всем видам и условиям оказания медицинской помощи) и, в случае его применения, отражается в тарифном соглашении.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>В тарифном соглашении должны быть установлены: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>- порядок проведения расчетов между медицинскими организациями за оказанную медицинскую помощь с применением телемедицинских технологий;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 xml:space="preserve">- тарифы на оплату медицинских услуг с применением телемедицинских технологий, в том числе в рамках </w:t>
      </w:r>
      <w:proofErr w:type="spellStart"/>
      <w:r>
        <w:t>межучрежденческих</w:t>
      </w:r>
      <w:proofErr w:type="spellEnd"/>
      <w:r>
        <w:t xml:space="preserve"> расчетов между медицинскими организациями субъекта Российской Федерации, осуществляемых через страховые медицинские организации.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>В тарифном соглашении возможно установление: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 xml:space="preserve">- рекомендуемых тарифов на оплату медицинских услуг с применением телемедицинских технологий для проведения расчетов в рамках договоров о возмездном оказании медицинских услуг между медицинскими организациями без участия страховой медицинской организации, заключенных на общих основаниях, предусмотренных Гражданским </w:t>
      </w:r>
      <w:hyperlink r:id="rId11">
        <w:r>
          <w:rPr>
            <w:color w:val="0000FF"/>
          </w:rPr>
          <w:t>кодексом</w:t>
        </w:r>
      </w:hyperlink>
      <w:r>
        <w:t xml:space="preserve"> Российской Федерации (далее - Договор), между медицинскими организациями преимущественно 1-го и 2-го уровня (имеющими прикрепленное население, или в которых проходит лечение пациент), и медицинскими организациями 3-го уровня, а также федеральными медицинскими организациями, оказывающими медицинскую помощь с применением телемедицинских технологий.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lastRenderedPageBreak/>
        <w:t>В субъекте Российской Федерации организация оказания медицинской помощи с применением телемедицинских технологий в медицинских организациях иного субъекта Российской Федерации рекомендуется в случае, если ресурсы медицинских организация для оказания медицинской помощи с применением телемедицинских технологий в субъекте Российской Федерации либо полностью отсутствуют, либо недостаточны для оказания их в необходимом объеме.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>При этом медицинские организации, желающие получить телемедицинскую консультацию, вправе заключить Договор с медицинской организацией, оказывающей медицинскую помощь с применением телемедицинских технологий.</w:t>
      </w:r>
    </w:p>
    <w:p w:rsidR="001230DE" w:rsidRDefault="001230DE">
      <w:pPr>
        <w:pStyle w:val="ConsPlusNormal"/>
        <w:spacing w:before="220"/>
        <w:ind w:firstLine="540"/>
        <w:jc w:val="both"/>
      </w:pPr>
      <w:r>
        <w:t>При необходимости по медицинским показаниям и в соответствии с клиническими рекомендациями медицинские работники медицинских организаций, расположенных в малонаселенных, отдаленных и (или) труднодоступных населенных пунктах организуют проведение консультации с использованием дистанционных (телемедицинских) технологий с последующим внесением соответствующей информации о проведении и результатах такой консультации в медицинскую документацию пациента.</w:t>
      </w:r>
    </w:p>
    <w:p w:rsidR="001230DE" w:rsidRDefault="00757587">
      <w:pPr>
        <w:pStyle w:val="ConsPlusNormal"/>
      </w:pPr>
      <w:hyperlink r:id="rId12">
        <w:r w:rsidR="001230DE">
          <w:rPr>
            <w:i/>
            <w:color w:val="0000FF"/>
          </w:rPr>
          <w:br/>
          <w:t>&lt;Письмо&gt; Минздрава России от 24.02.2026 N 31-2/И/2-3021 "О методических рекомендациях по способам оплаты медицинской помощи за счет средств обязательного медицинского страхования" (вместе с "Методическими рекомендациями по способам оплаты медицинской помощи за счет средств обязательного медицинского страхования", утв. Минздравом России N 31-2/И/2-2902, ФФОМС N 00-10-26-2-06/3109 20.02.2026) {</w:t>
        </w:r>
        <w:proofErr w:type="spellStart"/>
        <w:r w:rsidR="001230DE">
          <w:rPr>
            <w:i/>
            <w:color w:val="0000FF"/>
          </w:rPr>
          <w:t>КонсультантПлюс</w:t>
        </w:r>
        <w:proofErr w:type="spellEnd"/>
        <w:r w:rsidR="001230DE">
          <w:rPr>
            <w:i/>
            <w:color w:val="0000FF"/>
          </w:rPr>
          <w:t>}</w:t>
        </w:r>
      </w:hyperlink>
      <w:r w:rsidR="001230DE">
        <w:br/>
      </w:r>
    </w:p>
    <w:p w:rsidR="00695AE4" w:rsidRDefault="00695AE4"/>
    <w:sectPr w:rsidR="00695AE4" w:rsidSect="00434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0DE"/>
    <w:rsid w:val="001230DE"/>
    <w:rsid w:val="00695AE4"/>
    <w:rsid w:val="0075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AE3756-5795-4D37-87BE-C61328A2E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30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30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57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75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5342&amp;dst=10001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32193&amp;dst=100004" TargetMode="External"/><Relationship Id="rId12" Type="http://schemas.openxmlformats.org/officeDocument/2006/relationships/hyperlink" Target="https://login.consultant.ru/link/?req=doc&amp;base=LAW&amp;n=527559&amp;dst=10109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0591" TargetMode="External"/><Relationship Id="rId11" Type="http://schemas.openxmlformats.org/officeDocument/2006/relationships/hyperlink" Target="https://login.consultant.ru/link/?req=doc&amp;base=LAW&amp;n=508490" TargetMode="External"/><Relationship Id="rId5" Type="http://schemas.openxmlformats.org/officeDocument/2006/relationships/hyperlink" Target="https://login.consultant.ru/link/?req=doc&amp;base=LAW&amp;n=532349&amp;dst=100010" TargetMode="External"/><Relationship Id="rId10" Type="http://schemas.openxmlformats.org/officeDocument/2006/relationships/hyperlink" Target="https://login.consultant.ru/link/?req=doc&amp;base=LAW&amp;n=527559&amp;dst=101297" TargetMode="External"/><Relationship Id="rId4" Type="http://schemas.openxmlformats.org/officeDocument/2006/relationships/hyperlink" Target="https://login.consultant.ru/link/?req=doc&amp;base=LAW&amp;n=532193&amp;dst=100004" TargetMode="External"/><Relationship Id="rId9" Type="http://schemas.openxmlformats.org/officeDocument/2006/relationships/hyperlink" Target="https://login.consultant.ru/link/?req=doc&amp;base=LAW&amp;n=530892&amp;dst=10003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SAVINOVA</cp:lastModifiedBy>
  <cp:revision>2</cp:revision>
  <cp:lastPrinted>2026-04-24T12:41:00Z</cp:lastPrinted>
  <dcterms:created xsi:type="dcterms:W3CDTF">2026-04-17T09:13:00Z</dcterms:created>
  <dcterms:modified xsi:type="dcterms:W3CDTF">2026-04-24T12:45:00Z</dcterms:modified>
</cp:coreProperties>
</file>